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Arial" w:cs="Arial" w:eastAsia="Arial" w:hAnsi="Arial"/>
          <w:b/>
          <w:bCs/>
          <w:color w:val="1F2A44"/>
          <w:sz w:val="30"/>
          <w:szCs w:val="30"/>
        </w:rPr>
        <w:t xml:space="preserve">CO-PRODUCTION, MASTER PARTICIPATION, AND PUBLISHING SPLIT AGREEMENT</w:t>
      </w:r>
    </w:p>
    <w:p>
      <w:pPr>
        <w:spacing w:after="60"/>
        <w:jc w:val="center"/>
      </w:pPr>
      <w:r>
        <w:rPr>
          <w:rFonts w:ascii="Arial" w:cs="Arial" w:eastAsia="Arial" w:hAnsi="Arial"/>
          <w:i/>
          <w:iCs/>
          <w:color w:val="808080"/>
          <w:sz w:val="19"/>
          <w:szCs w:val="19"/>
        </w:rPr>
        <w:t xml:space="preserve">Mulika Studios Ltd · Kampala, Uganda</w:t>
      </w:r>
    </w:p>
    <w:p>
      <w:pPr>
        <w:spacing w:after="300"/>
        <w:jc w:val="center"/>
      </w:pPr>
      <w:r>
        <w:rPr>
          <w:rFonts w:ascii="Arial" w:cs="Arial" w:eastAsia="Arial" w:hAnsi="Arial"/>
          <w:i/>
          <w:iCs/>
          <w:color w:val="808080"/>
          <w:sz w:val="17"/>
          <w:szCs w:val="17"/>
        </w:rPr>
        <w:t>Prepared by: Noah Muhumuza, Mulika Studios Ltd, Kampala · Template v2.0 (aligned to the Copyright and Neighbouring Rights (Amendment) Act, 2026)</w:t>
      </w:r>
    </w:p>
    <w:p>
      <w:pPr>
        <w:spacing w:after="160" w:line="276"/>
      </w:pPr>
      <w:r>
        <w:rPr>
          <w:rFonts w:ascii="Arial" w:cs="Arial" w:eastAsia="Arial" w:hAnsi="Arial"/>
          <w:sz w:val="21"/>
          <w:szCs w:val="21"/>
        </w:rPr>
        <w:t>This Co-Production, Master Participation, and Publishing Split Agreement (the “Agreement”) is executed on the Execution Date and takes effect from the Effective Date, each as stated in the metadata table below, by and between:</w:t>
      </w:r>
      <w:r>
        <w:rPr>
          <w:rFonts w:ascii="Arial" w:cs="Arial" w:eastAsia="Arial" w:hAnsi="Arial"/>
          <w:i/>
          <w:iCs/>
          <w:color w:val="1155CC"/>
        </w:rPr>
      </w:r>
      <w:r>
        <w:rPr>
          <w:rFonts w:ascii="Arial" w:cs="Arial" w:eastAsia="Arial" w:hAnsi="Arial"/>
          <w:sz w:val="21"/>
          <w:szCs w:val="21"/>
        </w:rPr>
      </w:r>
    </w:p>
    <w:p>
      <w:pPr>
        <w:spacing w:after="160" w:line="276"/>
      </w:pPr>
      <w:r>
        <w:rPr>
          <w:rFonts w:ascii="Arial" w:cs="Arial" w:eastAsia="Arial" w:hAnsi="Arial"/>
          <w:sz w:val="21"/>
          <w:szCs w:val="21"/>
        </w:rPr>
        <w:t xml:space="preserve">MULIKA STUDIOS LTD (</w:t>
      </w:r>
      <w:r>
        <w:rPr>
          <w:rFonts w:ascii="Arial" w:cs="Arial" w:eastAsia="Arial" w:hAnsi="Arial"/>
          <w:i/>
          <w:iCs/>
          <w:sz w:val="21"/>
          <w:szCs w:val="21"/>
        </w:rPr>
        <w:t xml:space="preserve">"Studio"</w:t>
      </w:r>
      <w:r>
        <w:rPr>
          <w:rFonts w:ascii="Arial" w:cs="Arial" w:eastAsia="Arial" w:hAnsi="Arial"/>
          <w:sz w:val="21"/>
          <w:szCs w:val="21"/>
        </w:rPr>
        <w:t xml:space="preserve">), representing its internal Producer/Composer pipeline, and</w:t>
      </w:r>
    </w:p>
    <w:p>
      <w:pPr>
        <w:spacing w:after="160" w:line="276"/>
      </w:pPr>
      <w:r>
        <w:rPr>
          <w:rFonts w:ascii="Arial" w:cs="Arial" w:eastAsia="Arial" w:hAnsi="Arial"/>
          <w:i/>
          <w:iCs/>
          <w:color w:val="1155CC"/>
        </w:rPr>
        <w:t xml:space="preserve">[ARTIST LEGAL NAME]</w:t>
      </w:r>
      <w:r>
        <w:rPr>
          <w:rFonts w:ascii="Arial" w:cs="Arial" w:eastAsia="Arial" w:hAnsi="Arial"/>
          <w:sz w:val="21"/>
          <w:szCs w:val="21"/>
        </w:rPr>
        <w:t xml:space="preserve">, professionally known as </w:t>
      </w:r>
      <w:r>
        <w:rPr>
          <w:rFonts w:ascii="Arial" w:cs="Arial" w:eastAsia="Arial" w:hAnsi="Arial"/>
          <w:i/>
          <w:iCs/>
          <w:color w:val="1155CC"/>
        </w:rPr>
        <w:t xml:space="preserve">[ARTIST STAGE NAME]</w:t>
      </w:r>
      <w:r>
        <w:rPr>
          <w:rFonts w:ascii="Arial" w:cs="Arial" w:eastAsia="Arial" w:hAnsi="Arial"/>
          <w:sz w:val="21"/>
          <w:szCs w:val="21"/>
        </w:rPr>
        <w:t xml:space="preserve"> (hereinafter the "Artist").</w:t>
      </w:r>
    </w:p>
    <w:p>
      <w:pPr>
        <w:spacing w:after="200" w:before="100"/>
      </w:pPr>
      <w:r>
        <w:rPr>
          <w:rFonts w:ascii="Arial" w:cs="Arial" w:eastAsia="Arial" w:hAnsi="Arial"/>
          <w:i/>
          <w:iCs/>
          <w:sz w:val="21"/>
          <w:szCs w:val="21"/>
        </w:rPr>
        <w:t xml:space="preserve">This Agreement applies to the following recording:</w:t>
      </w:r>
    </w:p>
    <w:tbl>
      <w:tblPr>
        <w:tblW w:type="dxa" w:w="10080"/>
        <w:tblBorders>
          <w:top w:val="single" w:color="BFBFBF" w:sz="2"/>
          <w:left w:val="single" w:color="BFBFBF" w:sz="2"/>
          <w:bottom w:val="single" w:color="BFBFBF" w:sz="2"/>
          <w:right w:val="single" w:color="BFBFBF" w:sz="2"/>
          <w:insideH w:val="single" w:color="BFBFBF" w:sz="2"/>
          <w:insideV w:val="single" w:color="BFBFBF" w:sz="2"/>
        </w:tblBorders>
      </w:tblPr>
      <w:tblGrid>
        <w:gridCol w:w="1800"/>
        <w:gridCol w:w="4300"/>
        <w:gridCol w:w="1800"/>
        <w:gridCol w:w="2180"/>
      </w:tblGrid>
      <w:tr>
        <w:tc>
          <w:tcPr>
            <w:tcW w:type="dxa" w:w="1800"/>
            <w:shd w:fill="F2F2F2" w:val="clear"/>
            <w:tcMar>
              <w:top w:type="dxa" w:w="80"/>
              <w:left w:type="dxa" w:w="100"/>
              <w:bottom w:type="dxa" w:w="80"/>
              <w:right w:type="dxa" w:w="100"/>
            </w:tcMar>
            <w:vAlign w:val="center"/>
          </w:tcPr>
          <w:p>
            <w:pPr>
              <w:jc w:val="left"/>
            </w:pPr>
            <w:r>
              <w:rPr>
                <w:rFonts w:ascii="Arial" w:cs="Arial" w:eastAsia="Arial" w:hAnsi="Arial"/>
                <w:b/>
                <w:bCs/>
                <w:color w:val="000000"/>
                <w:sz w:val="19"/>
                <w:szCs w:val="19"/>
              </w:rPr>
              <w:t xml:space="preserve">Track Title</w:t>
            </w:r>
          </w:p>
        </w:tc>
        <w:tc>
          <w:tcPr>
            <w:tcW w:type="dxa" w:w="4300"/>
            <w:vAlign w:val="center"/>
          </w:tcPr>
          <w:p>
            <w:r>
              <w:rPr>
                <w:rFonts w:ascii="Arial" w:cs="Arial" w:eastAsia="Arial" w:hAnsi="Arial"/>
                <w:i/>
                <w:iCs/>
                <w:color w:val="1155CC"/>
              </w:rPr>
              <w:t xml:space="preserve">[TRACK TITLE]</w:t>
            </w:r>
          </w:p>
        </w:tc>
        <w:tc>
          <w:tcPr>
            <w:tcW w:type="dxa" w:w="1800"/>
            <w:shd w:fill="F2F2F2" w:val="clear"/>
            <w:tcMar>
              <w:top w:type="dxa" w:w="80"/>
              <w:left w:type="dxa" w:w="100"/>
              <w:bottom w:type="dxa" w:w="80"/>
              <w:right w:type="dxa" w:w="100"/>
            </w:tcMar>
            <w:vAlign w:val="center"/>
          </w:tcPr>
          <w:p>
            <w:pPr>
              <w:jc w:val="left"/>
            </w:pPr>
            <w:r>
              <w:rPr>
                <w:rFonts w:ascii="Arial" w:cs="Arial" w:eastAsia="Arial" w:hAnsi="Arial"/>
                <w:b/>
                <w:bCs/>
                <w:color w:val="000000"/>
                <w:sz w:val="19"/>
                <w:szCs w:val="19"/>
              </w:rPr>
              <w:t xml:space="preserve">ISRC</w:t>
            </w:r>
          </w:p>
        </w:tc>
        <w:tc>
          <w:tcPr>
            <w:tcW w:type="dxa" w:w="2180"/>
            <w:vAlign w:val="center"/>
          </w:tcPr>
          <w:p>
            <w:r>
              <w:rPr>
                <w:rFonts w:ascii="Arial" w:cs="Arial" w:eastAsia="Arial" w:hAnsi="Arial"/>
                <w:i/>
                <w:iCs/>
                <w:color w:val="1155CC"/>
              </w:rPr>
              <w:t xml:space="preserve">[ISRC]</w:t>
            </w:r>
          </w:p>
        </w:tc>
      </w:tr>
      <w:tr>
        <w:tc>
          <w:tcPr>
            <w:tcW w:type="dxa" w:w="1800"/>
            <w:shd w:fill="F2F2F2" w:val="clear"/>
            <w:tcMar>
              <w:top w:type="dxa" w:w="80"/>
              <w:left w:type="dxa" w:w="100"/>
              <w:bottom w:type="dxa" w:w="80"/>
              <w:right w:type="dxa" w:w="100"/>
            </w:tcMar>
            <w:vAlign w:val="center"/>
          </w:tcPr>
          <w:p>
            <w:pPr>
              <w:jc w:val="left"/>
            </w:pPr>
            <w:r>
              <w:rPr>
                <w:rFonts w:ascii="Arial" w:cs="Arial" w:eastAsia="Arial" w:hAnsi="Arial"/>
                <w:b/>
                <w:bCs/>
                <w:color w:val="000000"/>
                <w:sz w:val="19"/>
                <w:szCs w:val="19"/>
              </w:rPr>
              <w:t xml:space="preserve">ISWC</w:t>
            </w:r>
          </w:p>
        </w:tc>
        <w:tc>
          <w:tcPr>
            <w:tcW w:type="dxa" w:w="4300"/>
            <w:vAlign w:val="center"/>
          </w:tcPr>
          <w:p>
            <w:r>
              <w:rPr>
                <w:rFonts w:ascii="Arial" w:cs="Arial" w:eastAsia="Arial" w:hAnsi="Arial"/>
                <w:i/>
                <w:iCs/>
                <w:color w:val="1155CC"/>
              </w:rPr>
              <w:t xml:space="preserve">[ISWC]</w:t>
            </w:r>
          </w:p>
        </w:tc>
        <w:tc>
          <w:tcPr>
            <w:tcW w:type="dxa" w:w="1800"/>
            <w:shd w:fill="F2F2F2" w:val="clear"/>
            <w:tcMar>
              <w:top w:type="dxa" w:w="80"/>
              <w:left w:type="dxa" w:w="100"/>
              <w:bottom w:type="dxa" w:w="80"/>
              <w:right w:type="dxa" w:w="100"/>
            </w:tcMar>
            <w:vAlign w:val="center"/>
          </w:tcPr>
          <w:p>
            <w:pPr>
              <w:jc w:val="left"/>
            </w:pPr>
            <w:r>
              <w:rPr>
                <w:rFonts w:ascii="Arial" w:cs="Arial" w:eastAsia="Arial" w:hAnsi="Arial"/>
                <w:b/>
                <w:bCs/>
                <w:color w:val="000000"/>
                <w:sz w:val="19"/>
                <w:szCs w:val="19"/>
              </w:rPr>
              <w:t xml:space="preserve">Version #</w:t>
            </w:r>
          </w:p>
        </w:tc>
        <w:tc>
          <w:tcPr>
            <w:tcW w:type="dxa" w:w="2180"/>
            <w:vAlign w:val="center"/>
          </w:tcPr>
          <w:p>
            <w:r>
              <w:rPr>
                <w:rFonts w:ascii="Arial" w:cs="Arial" w:eastAsia="Arial" w:hAnsi="Arial"/>
                <w:i/>
                <w:iCs/>
                <w:color w:val="1155CC"/>
              </w:rPr>
              <w:t xml:space="preserve">[VERSION #]</w:t>
            </w:r>
          </w:p>
        </w:tc>
      </w:tr>
      <w:tr>
        <w:tc>
          <w:tcPr>
            <w:tcW w:type="dxa" w:w="1800"/>
            <w:shd w:fill="F2F2F2" w:val="clear"/>
            <w:tcMar>
              <w:top w:type="dxa" w:w="80"/>
              <w:left w:type="dxa" w:w="100"/>
              <w:bottom w:type="dxa" w:w="80"/>
              <w:right w:type="dxa" w:w="100"/>
            </w:tcMar>
            <w:vAlign w:val="center"/>
          </w:tcPr>
          <w:p>
            <w:pPr>
              <w:jc w:val="left"/>
            </w:pPr>
            <w:r>
              <w:rPr>
                <w:rFonts w:ascii="Arial" w:cs="Arial" w:eastAsia="Arial" w:hAnsi="Arial"/>
                <w:b/>
                <w:bCs/>
                <w:color w:val="000000"/>
                <w:sz w:val="19"/>
                <w:szCs w:val="19"/>
              </w:rPr>
              <w:t xml:space="preserve">Session Date(s)</w:t>
            </w:r>
          </w:p>
        </w:tc>
        <w:tc>
          <w:tcPr>
            <w:tcW w:type="dxa" w:w="4300"/>
            <w:vAlign w:val="center"/>
          </w:tcPr>
          <w:p>
            <w:r>
              <w:rPr>
                <w:rFonts w:ascii="Arial" w:cs="Arial" w:eastAsia="Arial" w:hAnsi="Arial"/>
                <w:i/>
                <w:iCs/>
                <w:color w:val="1155CC"/>
              </w:rPr>
              <w:t xml:space="preserve">[SESSION DATE]</w:t>
            </w:r>
          </w:p>
        </w:tc>
        <w:tc>
          <w:tcPr>
            <w:tcW w:type="dxa" w:w="1800"/>
            <w:shd w:fill="F2F2F2" w:val="clear"/>
            <w:tcMar>
              <w:top w:type="dxa" w:w="80"/>
              <w:left w:type="dxa" w:w="100"/>
              <w:bottom w:type="dxa" w:w="80"/>
              <w:right w:type="dxa" w:w="100"/>
            </w:tcMar>
            <w:vAlign w:val="center"/>
          </w:tcPr>
          <w:p>
            <w:pPr>
              <w:jc w:val="left"/>
            </w:pPr>
            <w:r>
              <w:rPr>
                <w:rFonts w:ascii="Arial" w:cs="Arial" w:eastAsia="Arial" w:hAnsi="Arial"/>
                <w:b/>
                <w:bCs/>
                <w:color w:val="000000"/>
                <w:sz w:val="19"/>
                <w:szCs w:val="19"/>
              </w:rPr>
              <w:t xml:space="preserve">Agreement Date</w:t>
            </w:r>
          </w:p>
        </w:tc>
        <w:tc>
          <w:tcPr>
            <w:tcW w:type="dxa" w:w="2180"/>
            <w:vAlign w:val="center"/>
          </w:tcPr>
          <w:p>
            <w:r>
              <w:rPr>
                <w:rFonts w:ascii="Arial" w:cs="Arial" w:eastAsia="Arial" w:hAnsi="Arial"/>
                <w:i/>
                <w:iCs/>
                <w:color w:val="1155CC"/>
              </w:rPr>
              <w:t xml:space="preserve">[AGREEMENT DATE]</w:t>
            </w:r>
          </w:p>
        </w:tc>
      </w:tr>
      <w:tr>
        <w:tc>
          <w:tcPr>
            <w:tcW w:type="dxa" w:w="1800"/>
            <w:shd w:fill="F2F2F2" w:val="clear"/>
            <w:tcMar>
              <w:top w:type="dxa" w:w="80"/>
              <w:left w:type="dxa" w:w="100"/>
              <w:bottom w:type="dxa" w:w="80"/>
              <w:right w:type="dxa" w:w="100"/>
            </w:tcMar>
            <w:vAlign w:val="center"/>
          </w:tcPr>
          <w:p>
            <w:pPr>
              <w:jc w:val="left"/>
            </w:pPr>
            <w:r>
              <w:rPr>
                <w:rFonts w:ascii="Arial" w:cs="Arial" w:eastAsia="Arial" w:hAnsi="Arial"/>
                <w:b/>
                <w:bCs/>
                <w:color w:val="000000"/>
                <w:sz w:val="19"/>
                <w:szCs w:val="19"/>
              </w:rPr>
              <w:t xml:space="preserve">Territory</w:t>
            </w:r>
          </w:p>
        </w:tc>
        <w:tc>
          <w:tcPr>
            <w:tcW w:type="dxa" w:w="4300"/>
            <w:vAlign w:val="center"/>
          </w:tcPr>
          <w:p>
            <w:r>
              <w:rPr>
                <w:rFonts w:ascii="Arial" w:cs="Arial" w:eastAsia="Arial" w:hAnsi="Arial"/>
                <w:i/>
                <w:iCs/>
                <w:color w:val="1155CC"/>
              </w:rPr>
              <w:t xml:space="preserve">[WORLDWIDE / SPECIFY]</w:t>
            </w:r>
          </w:p>
        </w:tc>
        <w:tc>
          <w:tcPr>
            <w:tcW w:type="dxa" w:w="1800"/>
            <w:shd w:fill="F2F2F2" w:val="clear"/>
            <w:tcMar>
              <w:top w:type="dxa" w:w="80"/>
              <w:left w:type="dxa" w:w="100"/>
              <w:bottom w:type="dxa" w:w="80"/>
              <w:right w:type="dxa" w:w="100"/>
            </w:tcMar>
            <w:vAlign w:val="center"/>
          </w:tcPr>
          <w:p>
            <w:pPr>
              <w:jc w:val="left"/>
            </w:pPr>
            <w:r>
              <w:rPr>
                <w:rFonts w:ascii="Arial" w:cs="Arial" w:eastAsia="Arial" w:hAnsi="Arial"/>
                <w:b/>
                <w:bCs/>
                <w:color w:val="000000"/>
                <w:sz w:val="19"/>
                <w:szCs w:val="19"/>
              </w:rPr>
              <w:t xml:space="preserve">Term</w:t>
            </w:r>
          </w:p>
        </w:tc>
        <w:tc>
          <w:tcPr>
            <w:tcW w:type="dxa" w:w="2180"/>
            <w:vAlign w:val="center"/>
          </w:tcPr>
          <w:p>
            <w:r>
              <w:rPr>
                <w:rFonts w:ascii="Arial" w:cs="Arial" w:eastAsia="Arial" w:hAnsi="Arial"/>
                <w:i/>
                <w:iCs/>
                <w:color w:val="1155CC"/>
              </w:rPr>
              <w:t xml:space="preserve">[LIFE OF COPYRIGHT / SPECIFY]</w:t>
            </w:r>
          </w:p>
        </w:tc>
      </w:tr>
      <w:tr>
        <w:tc>
          <w:tcPr>
            <w:tcW w:type="dxa" w:w="1800"/>
          </w:tcPr>
          <w:p>
            <w:r>
              <w:t>Effective Date</w:t>
            </w:r>
          </w:p>
        </w:tc>
        <w:tc>
          <w:tcPr>
            <w:tcW w:type="dxa" w:w="4300"/>
          </w:tcPr>
          <w:p>
            <w:r>
              <w:t>[SESSION / CREATION DATE — if ratifying an earlier arrangement]</w:t>
            </w:r>
          </w:p>
        </w:tc>
        <w:tc>
          <w:tcPr>
            <w:tcW w:type="dxa" w:w="1800"/>
          </w:tcPr>
          <w:p>
            <w:r>
              <w:t>Execution Date</w:t>
            </w:r>
          </w:p>
        </w:tc>
        <w:tc>
          <w:tcPr>
            <w:tcW w:type="dxa" w:w="2180"/>
          </w:tcPr>
          <w:p>
            <w:r>
              <w:t>[DATE OF SIGNING]</w:t>
            </w:r>
          </w:p>
        </w:tc>
      </w:tr>
    </w:tbl>
    <w:p>
      <w:pPr>
        <w:spacing w:after="200" w:before="80"/>
      </w:pPr>
      <w:r>
        <w:rPr>
          <w:rFonts w:ascii="Arial" w:cs="Arial" w:eastAsia="Arial" w:hAnsi="Arial"/>
          <w:i/>
          <w:iCs/>
          <w:color w:val="808080"/>
          <w:sz w:val="17"/>
          <w:szCs w:val="17"/>
        </w:rPr>
        <w:t xml:space="preserve">These fields mirror the Track &amp; Session Info block on the corresponding Mulika Studios Artist Royalty Split Sheet — copy them across so both documents describe the same recording.</w:t>
      </w:r>
    </w:p>
    <w:p>
      <w:pPr>
        <w:pStyle w:val="Heading1"/>
        <w:spacing w:after="160" w:before="320"/>
      </w:pPr>
      <w:r>
        <w:rPr>
          <w:rFonts w:ascii="Arial" w:cs="Arial" w:eastAsia="Arial" w:hAnsi="Arial"/>
          <w:b/>
          <w:bCs/>
          <w:color w:val="1F2A44"/>
          <w:sz w:val="24"/>
          <w:szCs w:val="24"/>
        </w:rPr>
        <w:t xml:space="preserve">1. DEFINITIONS</w:t>
      </w:r>
    </w:p>
    <w:p>
      <w:pPr>
        <w:pStyle w:val="ListParagraph"/>
        <w:numPr>
          <w:ilvl w:val="0"/>
          <w:numId w:val="1"/>
        </w:numPr>
        <w:spacing w:after="120" w:line="276"/>
      </w:pPr>
      <w:r>
        <w:rPr>
          <w:rFonts w:ascii="Arial" w:cs="Arial" w:eastAsia="Arial" w:hAnsi="Arial"/>
          <w:sz w:val="21"/>
          <w:szCs w:val="21"/>
        </w:rPr>
        <w:t xml:space="preserve">"Joint Work" </w:t>
      </w:r>
      <w:r>
        <w:rPr>
          <w:rFonts w:ascii="Arial" w:cs="Arial" w:eastAsia="Arial" w:hAnsi="Arial"/>
          <w:sz w:val="21"/>
          <w:szCs w:val="21"/>
        </w:rPr>
        <w:t xml:space="preserve">means the musical composition and sound recording created during the Session, jointly authored by the Artist and the Studio as described in Section 2.</w:t>
      </w:r>
    </w:p>
    <w:p>
      <w:pPr>
        <w:pStyle w:val="ListParagraph"/>
        <w:numPr>
          <w:ilvl w:val="0"/>
          <w:numId w:val="1"/>
        </w:numPr>
        <w:spacing w:after="120" w:line="276"/>
      </w:pPr>
      <w:r>
        <w:rPr>
          <w:rFonts w:ascii="Arial" w:cs="Arial" w:eastAsia="Arial" w:hAnsi="Arial"/>
          <w:sz w:val="21"/>
          <w:szCs w:val="21"/>
        </w:rPr>
        <w:t xml:space="preserve">"Net Revenue" </w:t>
      </w:r>
      <w:r>
        <w:rPr>
          <w:rFonts w:ascii="Arial" w:cs="Arial" w:eastAsia="Arial" w:hAnsi="Arial"/>
          <w:sz w:val="21"/>
          <w:szCs w:val="21"/>
        </w:rPr>
        <w:t xml:space="preserve">means gross receipts actually received from a distributor, aggregator, DSP, PRO, publisher, sync licensee, or other payor, less that payor's standard distribution, transaction, or collection fees, but before deduction of either party's personal management, legal, or accounting costs.</w:t>
      </w:r>
    </w:p>
    <w:p>
      <w:pPr>
        <w:pStyle w:val="ListParagraph"/>
        <w:numPr>
          <w:ilvl w:val="0"/>
          <w:numId w:val="1"/>
        </w:numPr>
        <w:spacing w:after="120" w:line="276"/>
      </w:pPr>
      <w:r>
        <w:rPr>
          <w:rFonts w:ascii="Arial" w:cs="Arial" w:eastAsia="Arial" w:hAnsi="Arial"/>
          <w:sz w:val="21"/>
          <w:szCs w:val="21"/>
        </w:rPr>
        <w:t xml:space="preserve">"Territory" </w:t>
      </w:r>
      <w:r>
        <w:rPr>
          <w:rFonts w:ascii="Arial" w:cs="Arial" w:eastAsia="Arial" w:hAnsi="Arial"/>
          <w:sz w:val="21"/>
          <w:szCs w:val="21"/>
        </w:rPr>
        <w:t xml:space="preserve">means the geographic scope of this Agreement, as specified in the metadata table above.</w:t>
      </w:r>
    </w:p>
    <w:p>
      <w:pPr>
        <w:pStyle w:val="ListParagraph"/>
        <w:numPr>
          <w:ilvl w:val="0"/>
          <w:numId w:val="1"/>
        </w:numPr>
        <w:spacing w:after="120" w:line="276"/>
      </w:pPr>
      <w:r>
        <w:rPr>
          <w:rFonts w:ascii="Arial" w:cs="Arial" w:eastAsia="Arial" w:hAnsi="Arial"/>
          <w:sz w:val="21"/>
          <w:szCs w:val="21"/>
        </w:rPr>
        <w:t xml:space="preserve">"Term" </w:t>
      </w:r>
      <w:r>
        <w:rPr>
          <w:rFonts w:ascii="Arial" w:cs="Arial" w:eastAsia="Arial" w:hAnsi="Arial"/>
          <w:sz w:val="21"/>
          <w:szCs w:val="21"/>
        </w:rPr>
        <w:t xml:space="preserve">means the duration for which the splits and rights described herein remain in effect, as specified in the metadata table above.</w:t>
      </w:r>
    </w:p>
    <w:p>
      <w:pPr>
        <w:pStyle w:val="Heading1"/>
        <w:spacing w:after="160" w:before="320"/>
      </w:pPr>
      <w:r>
        <w:rPr>
          <w:rFonts w:ascii="Arial" w:cs="Arial" w:eastAsia="Arial" w:hAnsi="Arial"/>
          <w:b/>
          <w:bCs/>
          <w:color w:val="1F2A44"/>
          <w:sz w:val="24"/>
          <w:szCs w:val="24"/>
        </w:rPr>
        <w:t xml:space="preserve">2. ACKNOWLEDGMENT OF JOINT WORK CREATION</w:t>
      </w:r>
    </w:p>
    <w:p>
      <w:pPr>
        <w:spacing w:after="160" w:line="276"/>
      </w:pPr>
      <w:r>
        <w:rPr>
          <w:rFonts w:ascii="Arial" w:cs="Arial" w:eastAsia="Arial" w:hAnsi="Arial"/>
          <w:sz w:val="21"/>
          <w:szCs w:val="21"/>
        </w:rPr>
        <w:t>The parties explicitly agree that the musical work generated during the Session is a work of joint authorship (a “Joint Work”) within the meaning of the Copyright and Neighbouring Rights Act, Cap. 222 (Laws of Uganda), as amended by the Copyright and Neighbouring Rights (Amendment) Act, 2026 (together, the “Copyright Act”), characterized by distinct creative contributions from both sides:</w:t>
      </w:r>
    </w:p>
    <w:p>
      <w:pPr>
        <w:pStyle w:val="ListParagraph"/>
        <w:numPr>
          <w:ilvl w:val="0"/>
          <w:numId w:val="1"/>
        </w:numPr>
        <w:spacing w:after="120" w:line="276"/>
      </w:pPr>
      <w:r>
        <w:rPr>
          <w:rFonts w:ascii="Arial" w:cs="Arial" w:eastAsia="Arial" w:hAnsi="Arial"/>
          <w:sz w:val="21"/>
          <w:szCs w:val="21"/>
        </w:rPr>
        <w:t xml:space="preserve">The Artist's Contribution: </w:t>
      </w:r>
      <w:r>
        <w:rPr>
          <w:rFonts w:ascii="Arial" w:cs="Arial" w:eastAsia="Arial" w:hAnsi="Arial"/>
          <w:sz w:val="21"/>
          <w:szCs w:val="21"/>
        </w:rPr>
        <w:t xml:space="preserve">the original lyrics, vocal melodies, and performance delivery.</w:t>
      </w:r>
    </w:p>
    <w:p>
      <w:pPr>
        <w:pStyle w:val="ListParagraph"/>
        <w:numPr>
          <w:ilvl w:val="0"/>
          <w:numId w:val="1"/>
        </w:numPr>
        <w:spacing w:after="120" w:line="276"/>
      </w:pPr>
      <w:r>
        <w:rPr>
          <w:rFonts w:ascii="Arial" w:cs="Arial" w:eastAsia="Arial" w:hAnsi="Arial"/>
          <w:sz w:val="21"/>
          <w:szCs w:val="21"/>
        </w:rPr>
        <w:t xml:space="preserve">The Studio's (Producer's) Contribution: </w:t>
      </w:r>
      <w:r>
        <w:rPr>
          <w:rFonts w:ascii="Arial" w:cs="Arial" w:eastAsia="Arial" w:hAnsi="Arial"/>
          <w:sz w:val="21"/>
          <w:szCs w:val="21"/>
        </w:rPr>
        <w:t xml:space="preserve">the composition and construction of the underlying instrumental track, including the creation, recording, and arrangement of all instrumentation, programming, and rhythmic frameworks.</w:t>
      </w:r>
    </w:p>
    <w:p>
      <w:pPr>
        <w:spacing w:after="160" w:line="276"/>
      </w:pPr>
      <w:r>
        <w:rPr>
          <w:rFonts w:ascii="Arial" w:cs="Arial" w:eastAsia="Arial" w:hAnsi="Arial"/>
          <w:sz w:val="21"/>
          <w:szCs w:val="21"/>
        </w:rPr>
        <w:t xml:space="preserve">Where the Artist has paid financial fees to cover physical studio block time and technical engineering labor, those fees are treated as set out in Section 4 (Advances &amp; Recoupment) and do not, by themselves, buy out the creative composition copyrights or master equity belonging to the Studio's production team.</w:t>
      </w:r>
    </w:p>
    <w:p>
      <w:pPr>
        <w:pStyle w:val="Heading1"/>
        <w:spacing w:after="160" w:before="320"/>
      </w:pPr>
      <w:r>
        <w:rPr>
          <w:rFonts w:ascii="Arial" w:cs="Arial" w:eastAsia="Arial" w:hAnsi="Arial"/>
          <w:b/>
          <w:bCs/>
          <w:color w:val="1F2A44"/>
          <w:sz w:val="24"/>
          <w:szCs w:val="24"/>
        </w:rPr>
        <w:t xml:space="preserve">3. DUAL-PILLAR COPYRIGHT SPLIT DETERMINATION</w:t>
      </w:r>
    </w:p>
    <w:p>
      <w:pPr>
        <w:spacing w:after="160" w:line="276"/>
      </w:pPr>
      <w:r>
        <w:rPr>
          <w:rFonts w:ascii="Arial" w:cs="Arial" w:eastAsia="Arial" w:hAnsi="Arial"/>
          <w:sz w:val="21"/>
          <w:szCs w:val="21"/>
        </w:rPr>
        <w:t xml:space="preserve">To ensure each party earns fairly from their respective creative and structural contributions, all global revenue streams and rights allocations are locked as follows. Split percentages are agreed per-track and must sum to 100% within each Copyright Asset Class.</w:t>
      </w:r>
    </w:p>
    <w:tbl>
      <w:tblPr>
        <w:tblW w:type="dxa" w:w="10080"/>
        <w:tblBorders>
          <w:top w:val="single" w:color="BFBFBF" w:sz="2"/>
          <w:left w:val="single" w:color="BFBFBF" w:sz="2"/>
          <w:bottom w:val="single" w:color="BFBFBF" w:sz="2"/>
          <w:right w:val="single" w:color="BFBFBF" w:sz="2"/>
          <w:insideH w:val="single" w:color="BFBFBF" w:sz="2"/>
          <w:insideV w:val="single" w:color="BFBFBF" w:sz="2"/>
        </w:tblBorders>
      </w:tblPr>
      <w:tblGrid>
        <w:gridCol w:w="3200"/>
        <w:gridCol w:w="2400"/>
        <w:gridCol w:w="1700"/>
        <w:gridCol w:w="2780"/>
      </w:tblGrid>
      <w:tr>
        <w:trPr>
          <w:tblHeader/>
        </w:trPr>
        <w:tc>
          <w:tcPr>
            <w:tcW w:type="dxa" w:w="3200"/>
            <w:shd w:fill="1F2A44" w:val="clear"/>
            <w:tcMar>
              <w:top w:type="dxa" w:w="80"/>
              <w:left w:type="dxa" w:w="100"/>
              <w:bottom w:type="dxa" w:w="80"/>
              <w:right w:type="dxa" w:w="100"/>
            </w:tcMar>
            <w:vAlign w:val="center"/>
          </w:tcPr>
          <w:p>
            <w:pPr>
              <w:jc w:val="left"/>
            </w:pPr>
            <w:r>
              <w:rPr>
                <w:rFonts w:ascii="Arial" w:cs="Arial" w:eastAsia="Arial" w:hAnsi="Arial"/>
                <w:b/>
                <w:bCs/>
                <w:color w:val="FFFFFF"/>
                <w:sz w:val="19"/>
                <w:szCs w:val="19"/>
              </w:rPr>
              <w:t xml:space="preserve">Copyright Asset Class</w:t>
            </w:r>
          </w:p>
        </w:tc>
        <w:tc>
          <w:tcPr>
            <w:tcW w:type="dxa" w:w="2400"/>
            <w:shd w:fill="1F2A44" w:val="clear"/>
            <w:tcMar>
              <w:top w:type="dxa" w:w="80"/>
              <w:left w:type="dxa" w:w="100"/>
              <w:bottom w:type="dxa" w:w="80"/>
              <w:right w:type="dxa" w:w="100"/>
            </w:tcMar>
            <w:vAlign w:val="center"/>
          </w:tcPr>
          <w:p>
            <w:pPr>
              <w:jc w:val="left"/>
            </w:pPr>
            <w:r>
              <w:rPr>
                <w:rFonts w:ascii="Arial" w:cs="Arial" w:eastAsia="Arial" w:hAnsi="Arial"/>
                <w:b/>
                <w:bCs/>
                <w:color w:val="FFFFFF"/>
                <w:sz w:val="19"/>
                <w:szCs w:val="19"/>
              </w:rPr>
              <w:t xml:space="preserve">Party / Beneficiary</w:t>
            </w:r>
          </w:p>
        </w:tc>
        <w:tc>
          <w:tcPr>
            <w:tcW w:type="dxa" w:w="1700"/>
            <w:shd w:fill="1F2A44" w:val="clear"/>
            <w:tcMar>
              <w:top w:type="dxa" w:w="80"/>
              <w:left w:type="dxa" w:w="100"/>
              <w:bottom w:type="dxa" w:w="80"/>
              <w:right w:type="dxa" w:w="100"/>
            </w:tcMar>
            <w:vAlign w:val="center"/>
          </w:tcPr>
          <w:p>
            <w:pPr>
              <w:jc w:val="left"/>
            </w:pPr>
            <w:r>
              <w:rPr>
                <w:rFonts w:ascii="Arial" w:cs="Arial" w:eastAsia="Arial" w:hAnsi="Arial"/>
                <w:b/>
                <w:bCs/>
                <w:color w:val="FFFFFF"/>
                <w:sz w:val="19"/>
                <w:szCs w:val="19"/>
              </w:rPr>
              <w:t xml:space="preserve">Ownership Split %</w:t>
            </w:r>
          </w:p>
        </w:tc>
        <w:tc>
          <w:tcPr>
            <w:tcW w:type="dxa" w:w="2780"/>
            <w:shd w:fill="1F2A44" w:val="clear"/>
            <w:tcMar>
              <w:top w:type="dxa" w:w="80"/>
              <w:left w:type="dxa" w:w="100"/>
              <w:bottom w:type="dxa" w:w="80"/>
              <w:right w:type="dxa" w:w="100"/>
            </w:tcMar>
            <w:vAlign w:val="center"/>
          </w:tcPr>
          <w:p>
            <w:pPr>
              <w:jc w:val="left"/>
            </w:pPr>
            <w:r>
              <w:rPr>
                <w:rFonts w:ascii="Arial" w:cs="Arial" w:eastAsia="Arial" w:hAnsi="Arial"/>
                <w:b/>
                <w:bCs/>
                <w:color w:val="FFFFFF"/>
                <w:sz w:val="19"/>
                <w:szCs w:val="19"/>
              </w:rPr>
              <w:t xml:space="preserve">Revenue Target Streams</w:t>
            </w:r>
          </w:p>
        </w:tc>
      </w:tr>
      <w:tr>
        <w:tc>
          <w:tcPr>
            <w:tcW w:type="dxa" w:w="3200"/>
            <w:shd w:fill="F2F2F2" w:val="clear"/>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Publishing Rights
(Composition / Songwriting)</w:t>
            </w:r>
          </w:p>
        </w:tc>
        <w:tc>
          <w:tcPr>
            <w:tcW w:type="dxa" w:w="2400"/>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Artist</w:t>
            </w:r>
          </w:p>
        </w:tc>
        <w:tc>
          <w:tcPr>
            <w:tcW w:type="dxa" w:w="1700"/>
            <w:vAlign w:val="center"/>
          </w:tcPr>
          <w:p>
            <w:r>
              <w:rPr>
                <w:rFonts w:ascii="Arial" w:cs="Arial" w:eastAsia="Arial" w:hAnsi="Arial"/>
                <w:i/>
                <w:iCs/>
                <w:color w:val="1155CC"/>
              </w:rPr>
              <w:t xml:space="preserve">[ ___ ]%</w:t>
            </w:r>
          </w:p>
        </w:tc>
        <w:tc>
          <w:tcPr>
            <w:tcW w:type="dxa" w:w="2780"/>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Performance Royalties (PROs), Mechanical Royalties, Lyric Print Exploitation</w:t>
            </w:r>
          </w:p>
        </w:tc>
      </w:tr>
      <w:tr>
        <w:tc>
          <w:tcPr>
            <w:tcW w:type="dxa" w:w="3200"/>
            <w:shd w:fill="F2F2F2" w:val="clear"/>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Publishing Rights
(Composition / Songwriting)</w:t>
            </w:r>
          </w:p>
        </w:tc>
        <w:tc>
          <w:tcPr>
            <w:tcW w:type="dxa" w:w="2400"/>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Mulika Studios / Producer</w:t>
            </w:r>
          </w:p>
        </w:tc>
        <w:tc>
          <w:tcPr>
            <w:tcW w:type="dxa" w:w="1700"/>
            <w:vAlign w:val="center"/>
          </w:tcPr>
          <w:p>
            <w:r>
              <w:rPr>
                <w:rFonts w:ascii="Arial" w:cs="Arial" w:eastAsia="Arial" w:hAnsi="Arial"/>
                <w:i/>
                <w:iCs/>
                <w:color w:val="1155CC"/>
              </w:rPr>
              <w:t xml:space="preserve">[ ___ ]%</w:t>
            </w:r>
          </w:p>
        </w:tc>
        <w:tc>
          <w:tcPr>
            <w:tcW w:type="dxa" w:w="2780"/>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Performance Royalties (PROs), Mechanical Royalties, Instrumental Sync Shares</w:t>
            </w:r>
          </w:p>
        </w:tc>
      </w:tr>
      <w:tr>
        <w:tc>
          <w:tcPr>
            <w:tcW w:type="dxa" w:w="3200"/>
            <w:shd w:fill="F2F2F2" w:val="clear"/>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Master Rights
(Sound Recording)</w:t>
            </w:r>
          </w:p>
        </w:tc>
        <w:tc>
          <w:tcPr>
            <w:tcW w:type="dxa" w:w="2400"/>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Artist</w:t>
            </w:r>
          </w:p>
        </w:tc>
        <w:tc>
          <w:tcPr>
            <w:tcW w:type="dxa" w:w="1700"/>
            <w:vAlign w:val="center"/>
          </w:tcPr>
          <w:p>
            <w:r>
              <w:rPr>
                <w:rFonts w:ascii="Arial" w:cs="Arial" w:eastAsia="Arial" w:hAnsi="Arial"/>
                <w:i/>
                <w:iCs/>
                <w:color w:val="1155CC"/>
              </w:rPr>
              <w:t xml:space="preserve">[ ___ ]%</w:t>
            </w:r>
          </w:p>
        </w:tc>
        <w:tc>
          <w:tcPr>
            <w:tcW w:type="dxa" w:w="2780"/>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DSP Streaming Revenue, Downloads, Master Sync Fees</w:t>
            </w:r>
          </w:p>
        </w:tc>
      </w:tr>
      <w:tr>
        <w:tc>
          <w:tcPr>
            <w:tcW w:type="dxa" w:w="3200"/>
            <w:shd w:fill="F2F2F2" w:val="clear"/>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Master Rights
(Sound Recording)</w:t>
            </w:r>
          </w:p>
        </w:tc>
        <w:tc>
          <w:tcPr>
            <w:tcW w:type="dxa" w:w="2400"/>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Mulika Studios</w:t>
            </w:r>
          </w:p>
        </w:tc>
        <w:tc>
          <w:tcPr>
            <w:tcW w:type="dxa" w:w="1700"/>
            <w:vAlign w:val="center"/>
          </w:tcPr>
          <w:p>
            <w:r>
              <w:rPr>
                <w:rFonts w:ascii="Arial" w:cs="Arial" w:eastAsia="Arial" w:hAnsi="Arial"/>
                <w:i/>
                <w:iCs/>
                <w:color w:val="1155CC"/>
              </w:rPr>
              <w:t xml:space="preserve">[ ___ ]%</w:t>
            </w:r>
          </w:p>
        </w:tc>
        <w:tc>
          <w:tcPr>
            <w:tcW w:type="dxa" w:w="2780"/>
            <w:tcMar>
              <w:top w:type="dxa" w:w="80"/>
              <w:left w:type="dxa" w:w="100"/>
              <w:bottom w:type="dxa" w:w="80"/>
              <w:right w:type="dxa" w:w="100"/>
            </w:tcMar>
            <w:vAlign w:val="center"/>
          </w:tcPr>
          <w:p>
            <w:pPr>
              <w:jc w:val="left"/>
            </w:pPr>
            <w:r>
              <w:rPr>
                <w:rFonts w:ascii="Arial" w:cs="Arial" w:eastAsia="Arial" w:hAnsi="Arial"/>
                <w:color w:val="000000"/>
                <w:sz w:val="19"/>
                <w:szCs w:val="19"/>
              </w:rPr>
              <w:t xml:space="preserve">DSP Streaming Revenue, Downloads, Neighbouring Rights, Master Sync</w:t>
            </w:r>
          </w:p>
        </w:tc>
      </w:tr>
    </w:tbl>
    <w:p>
      <w:pPr>
        <w:spacing w:after="200"/>
      </w:pPr>
    </w:p>
    <w:p>
      <w:pPr>
        <w:pStyle w:val="Heading1"/>
        <w:spacing w:after="160" w:before="320"/>
      </w:pPr>
      <w:r>
        <w:rPr>
          <w:rFonts w:ascii="Arial" w:cs="Arial" w:eastAsia="Arial" w:hAnsi="Arial"/>
          <w:b/>
          <w:bCs/>
          <w:color w:val="1F2A44"/>
          <w:sz w:val="24"/>
          <w:szCs w:val="24"/>
        </w:rPr>
        <w:t xml:space="preserve">4. ADVANCES &amp; RECOUPMENT</w:t>
      </w:r>
    </w:p>
    <w:p>
      <w:pPr>
        <w:spacing w:after="160" w:line="276"/>
      </w:pPr>
      <w:r>
        <w:rPr>
          <w:rFonts w:ascii="Arial" w:cs="Arial" w:eastAsia="Arial" w:hAnsi="Arial"/>
          <w:sz w:val="21"/>
          <w:szCs w:val="21"/>
        </w:rPr>
        <w:t xml:space="preserve">Any fee paid by the Artist for studio time, engineering, or session musicians is characterized as (select one): </w:t>
      </w:r>
      <w:r>
        <w:rPr>
          <w:rFonts w:ascii="Arial" w:cs="Arial" w:eastAsia="Arial" w:hAnsi="Arial"/>
          <w:i/>
          <w:iCs/>
          <w:color w:val="1155CC"/>
        </w:rPr>
        <w:t xml:space="preserve">[ ] a flat, non-recoupable service fee   [ ] a recoupable advance against the Studio's share of Net Revenue under Section 3</w:t>
      </w:r>
      <w:r>
        <w:rPr>
          <w:rFonts w:ascii="Arial" w:cs="Arial" w:eastAsia="Arial" w:hAnsi="Arial"/>
          <w:sz w:val="21"/>
          <w:szCs w:val="21"/>
        </w:rPr>
        <w:t xml:space="preserve">.</w:t>
      </w:r>
    </w:p>
    <w:p>
      <w:pPr>
        <w:spacing w:after="160" w:line="276"/>
      </w:pPr>
      <w:r>
        <w:rPr>
          <w:rFonts w:ascii="Arial" w:cs="Arial" w:eastAsia="Arial" w:hAnsi="Arial"/>
          <w:sz w:val="21"/>
          <w:szCs w:val="21"/>
        </w:rPr>
        <w:t xml:space="preserve">If characterized as a recoupable advance, the Studio's share of Net Revenue shall first be applied against the outstanding advance balance until fully recouped, after which full payout resumes per Section 3.</w:t>
      </w:r>
    </w:p>
    <w:p>
      <w:pPr>
        <w:pStyle w:val="Heading1"/>
        <w:spacing w:after="160" w:before="320"/>
      </w:pPr>
      <w:r>
        <w:rPr>
          <w:rFonts w:ascii="Arial" w:cs="Arial" w:eastAsia="Arial" w:hAnsi="Arial"/>
          <w:b/>
          <w:bCs/>
          <w:color w:val="1F2A44"/>
          <w:sz w:val="24"/>
          <w:szCs w:val="24"/>
        </w:rPr>
        <w:t xml:space="preserve">5. REVENUE COLLECTION MECHANICS</w:t>
      </w:r>
    </w:p>
    <w:p>
      <w:pPr>
        <w:pStyle w:val="ListParagraph"/>
        <w:numPr>
          <w:ilvl w:val="0"/>
          <w:numId w:val="1"/>
        </w:numPr>
        <w:spacing w:after="120" w:line="276"/>
      </w:pPr>
      <w:r>
        <w:rPr>
          <w:rFonts w:ascii="Arial" w:cs="Arial" w:eastAsia="Arial" w:hAnsi="Arial"/>
          <w:sz w:val="21"/>
          <w:szCs w:val="21"/>
        </w:rPr>
        <w:t xml:space="preserve">Master Recording Revenue: </w:t>
      </w:r>
      <w:r>
        <w:rPr>
          <w:rFonts w:ascii="Arial" w:cs="Arial" w:eastAsia="Arial" w:hAnsi="Arial"/>
          <w:sz w:val="21"/>
          <w:szCs w:val="21"/>
        </w:rPr>
        <w:t xml:space="preserve">the track shall be uploaded to an aggregator or platform with automated split-payout capability (e.g., a digital distributor's split-payment tool, or Mulika's integrated MAS monetization dashboard). Payouts trigger directly to each party on a monthly basis, calculated on Net Revenue per the Master split in Section 3.</w:t>
      </w:r>
    </w:p>
    <w:p>
      <w:pPr>
        <w:pStyle w:val="ListParagraph"/>
        <w:numPr>
          <w:ilvl w:val="0"/>
          <w:numId w:val="1"/>
        </w:numPr>
        <w:spacing w:after="120" w:line="276"/>
      </w:pPr>
      <w:r>
        <w:rPr>
          <w:rFonts w:ascii="Arial" w:cs="Arial" w:eastAsia="Arial" w:hAnsi="Arial"/>
          <w:sz w:val="21"/>
          <w:szCs w:val="21"/>
        </w:rPr>
        <w:t xml:space="preserve">Publishing/Composition Revenue: </w:t>
      </w:r>
      <w:r>
        <w:rPr>
          <w:rFonts w:ascii="Arial" w:cs="Arial" w:eastAsia="Arial" w:hAnsi="Arial"/>
          <w:sz w:val="21"/>
          <w:szCs w:val="21"/>
        </w:rPr>
        <w:t xml:space="preserve">the Artist shall register their share with their PRO (e.g., UPRS, ASCAP, PRS, BMI, SAMRO). The Studio or its designated producer shall register its share with its chosen PRO or publishing administrator. Each party collects songwriting earnings directly from their respective collection society.</w:t>
      </w:r>
    </w:p>
    <w:p>
      <w:pPr>
        <w:pStyle w:val="ListParagraph"/>
        <w:numPr>
          <w:ilvl w:val="0"/>
          <w:numId w:val="1"/>
        </w:numPr>
        <w:spacing w:after="120" w:line="276"/>
      </w:pPr>
      <w:r>
        <w:rPr>
          <w:rFonts w:ascii="Arial" w:cs="Arial" w:eastAsia="Arial" w:hAnsi="Arial"/>
          <w:sz w:val="21"/>
          <w:szCs w:val="21"/>
        </w:rPr>
        <w:t xml:space="preserve">Non-Registration: </w:t>
      </w:r>
      <w:r>
        <w:rPr>
          <w:rFonts w:ascii="Arial" w:cs="Arial" w:eastAsia="Arial" w:hAnsi="Arial"/>
          <w:sz w:val="21"/>
          <w:szCs w:val="21"/>
        </w:rPr>
        <w:t xml:space="preserve">if a party fails to register its share with a PRO or publishing administrator within 90 days of release, the other party may (but is not obligated to) collect and hold the unregistered share in trust, less reasonable administrative costs, pending registration.</w:t>
      </w:r>
    </w:p>
    <w:p>
      <w:pPr>
        <w:pStyle w:val="Heading1"/>
        <w:spacing w:after="160" w:before="320"/>
      </w:pPr>
      <w:r>
        <w:rPr>
          <w:rFonts w:ascii="Arial" w:cs="Arial" w:eastAsia="Arial" w:hAnsi="Arial"/>
          <w:b/>
          <w:bCs/>
          <w:color w:val="1F2A44"/>
          <w:sz w:val="24"/>
          <w:szCs w:val="24"/>
        </w:rPr>
        <w:t xml:space="preserve">6. PRODUCTION CREDITS</w:t>
      </w:r>
    </w:p>
    <w:p>
      <w:pPr>
        <w:spacing w:after="160" w:line="276"/>
      </w:pPr>
      <w:r>
        <w:rPr>
          <w:rFonts w:ascii="Arial" w:cs="Arial" w:eastAsia="Arial" w:hAnsi="Arial"/>
          <w:sz w:val="21"/>
          <w:szCs w:val="21"/>
        </w:rPr>
        <w:t xml:space="preserve">On all commercial releases, digital metadata platforms, and physical liner notes, the track credit shall read: “</w:t>
      </w:r>
      <w:r>
        <w:rPr>
          <w:rFonts w:ascii="Arial" w:cs="Arial" w:eastAsia="Arial" w:hAnsi="Arial"/>
          <w:i/>
          <w:iCs/>
          <w:color w:val="1155CC"/>
        </w:rPr>
        <w:t xml:space="preserve">Performed by [ARTIST NAME], Produced by [PRODUCER NAME]</w:t>
      </w:r>
      <w:r>
        <w:rPr>
          <w:rFonts w:ascii="Arial" w:cs="Arial" w:eastAsia="Arial" w:hAnsi="Arial"/>
          <w:sz w:val="21"/>
          <w:szCs w:val="21"/>
        </w:rPr>
        <w:t xml:space="preserve">”, subject to correction of spelling and formatting by mutual written consent.</w:t>
      </w:r>
    </w:p>
    <w:p>
      <w:pPr>
        <w:pStyle w:val="Heading1"/>
        <w:spacing w:after="160" w:before="320"/>
      </w:pPr>
      <w:r>
        <w:rPr>
          <w:rFonts w:ascii="Arial" w:cs="Arial" w:eastAsia="Arial" w:hAnsi="Arial"/>
          <w:b/>
          <w:bCs/>
          <w:color w:val="1F2A44"/>
          <w:sz w:val="24"/>
          <w:szCs w:val="24"/>
        </w:rPr>
        <w:t xml:space="preserve">7. WARRANTIES &amp; REPRESENTATIONS</w:t>
      </w:r>
    </w:p>
    <w:p>
      <w:pPr>
        <w:spacing w:after="160" w:line="276"/>
      </w:pPr>
      <w:r>
        <w:rPr>
          <w:rFonts w:ascii="Arial" w:cs="Arial" w:eastAsia="Arial" w:hAnsi="Arial"/>
          <w:sz w:val="21"/>
          <w:szCs w:val="21"/>
        </w:rPr>
        <w:t xml:space="preserve">Each party represents and warrants that:</w:t>
      </w:r>
    </w:p>
    <w:p>
      <w:pPr>
        <w:pStyle w:val="ListParagraph"/>
        <w:numPr>
          <w:ilvl w:val="0"/>
          <w:numId w:val="1"/>
        </w:numPr>
        <w:spacing w:after="120" w:line="276"/>
      </w:pPr>
      <w:r>
        <w:rPr>
          <w:rFonts w:ascii="Arial" w:cs="Arial" w:eastAsia="Arial" w:hAnsi="Arial"/>
          <w:sz w:val="21"/>
          <w:szCs w:val="21"/>
        </w:rPr>
        <w:t xml:space="preserve">it owns or controls the rights it purports to grant or contribute under this Agreement;</w:t>
      </w:r>
    </w:p>
    <w:p>
      <w:pPr>
        <w:pStyle w:val="ListParagraph"/>
        <w:numPr>
          <w:ilvl w:val="0"/>
          <w:numId w:val="1"/>
        </w:numPr>
        <w:spacing w:after="120" w:line="276"/>
      </w:pPr>
      <w:r>
        <w:rPr>
          <w:rFonts w:ascii="Arial" w:cs="Arial" w:eastAsia="Arial" w:hAnsi="Arial"/>
          <w:sz w:val="21"/>
          <w:szCs w:val="21"/>
        </w:rPr>
        <w:t xml:space="preserve">its contribution (lyrics, melodies, performance, instrumentation, or programming) is original or, where it incorporates any third-party material, sample, or traditional/folk source, that such use has been cleared as described in Section 8; and</w:t>
      </w:r>
    </w:p>
    <w:p>
      <w:pPr>
        <w:pStyle w:val="ListParagraph"/>
        <w:numPr>
          <w:ilvl w:val="0"/>
          <w:numId w:val="1"/>
        </w:numPr>
        <w:spacing w:after="120" w:line="276"/>
      </w:pPr>
      <w:r>
        <w:rPr>
          <w:rFonts w:ascii="Arial" w:cs="Arial" w:eastAsia="Arial" w:hAnsi="Arial"/>
          <w:sz w:val="21"/>
          <w:szCs w:val="21"/>
        </w:rPr>
        <w:t xml:space="preserve">it has not granted, and will not grant, any conflicting rights in the Joint Work to any third party during the Term.</w:t>
      </w:r>
    </w:p>
    <w:p>
      <w:pPr>
        <w:pStyle w:val="Heading1"/>
        <w:spacing w:after="160" w:before="320"/>
      </w:pPr>
      <w:r>
        <w:rPr>
          <w:rFonts w:ascii="Arial" w:cs="Arial" w:eastAsia="Arial" w:hAnsi="Arial"/>
          <w:b/>
          <w:bCs/>
          <w:color w:val="1F2A44"/>
          <w:sz w:val="24"/>
          <w:szCs w:val="24"/>
        </w:rPr>
        <w:t xml:space="preserve">8. SAMPLE / TRADITIONAL SOURCE CLEARANCE &amp; INDEMNIFICATION</w:t>
      </w:r>
    </w:p>
    <w:p>
      <w:pPr>
        <w:spacing w:after="160" w:line="276"/>
      </w:pPr>
      <w:r>
        <w:rPr>
          <w:rFonts w:ascii="Arial" w:cs="Arial" w:eastAsia="Arial" w:hAnsi="Arial"/>
          <w:sz w:val="21"/>
          <w:szCs w:val="21"/>
        </w:rPr>
        <w:t xml:space="preserve">Where the Joint Work incorporates a sample, interpolation, or traditional/folk source material, the contributing party is responsible for obtaining and documenting clearance (see the corresponding Split Sheet's Sample / Traditional Source Clearance section). Each party agrees to indemnify and hold harmless the other party from any claim, loss, or expense (including reasonable legal fees) arising from a breach of the warranties in Section 7 or from an uncleared third-party contribution attributable to that party.</w:t>
      </w:r>
    </w:p>
    <w:p>
      <w:pPr>
        <w:pStyle w:val="Heading1"/>
        <w:spacing w:after="160" w:before="320"/>
      </w:pPr>
      <w:r>
        <w:rPr>
          <w:rFonts w:ascii="Arial" w:cs="Arial" w:eastAsia="Arial" w:hAnsi="Arial"/>
          <w:b/>
          <w:bCs/>
          <w:color w:val="1F2A44"/>
          <w:sz w:val="24"/>
          <w:szCs w:val="24"/>
        </w:rPr>
        <w:t xml:space="preserve">9. OWNERSHIP OF SESSION FILES &amp; STEMS</w:t>
      </w:r>
    </w:p>
    <w:p>
      <w:pPr>
        <w:spacing w:after="160" w:line="276"/>
      </w:pPr>
      <w:r>
        <w:rPr>
          <w:rFonts w:ascii="Arial" w:cs="Arial" w:eastAsia="Arial" w:hAnsi="Arial"/>
          <w:sz w:val="21"/>
          <w:szCs w:val="21"/>
        </w:rPr>
        <w:t xml:space="preserve">Multitrack session files, stems, and project files created during the Session remain the property of the Studio, which shall retain them for a minimum of the Term and provide copies to the Artist upon reasonable written request, subject to a fair cost-recovery fee for media and labor where applicable.</w:t>
      </w:r>
    </w:p>
    <w:p>
      <w:pPr>
        <w:pStyle w:val="Heading1"/>
        <w:spacing w:after="160" w:before="320"/>
      </w:pPr>
      <w:r>
        <w:rPr>
          <w:rFonts w:ascii="Arial" w:cs="Arial" w:eastAsia="Arial" w:hAnsi="Arial"/>
          <w:b/>
          <w:bCs/>
          <w:color w:val="1F2A44"/>
          <w:sz w:val="24"/>
          <w:szCs w:val="24"/>
        </w:rPr>
        <w:t xml:space="preserve">10. NON-REUSE / EXCLUSIVITY OF INSTRUMENTAL</w:t>
      </w:r>
    </w:p>
    <w:p>
      <w:pPr>
        <w:spacing w:after="160" w:line="276"/>
      </w:pPr>
      <w:r>
        <w:rPr>
          <w:rFonts w:ascii="Arial" w:cs="Arial" w:eastAsia="Arial" w:hAnsi="Arial"/>
          <w:sz w:val="21"/>
          <w:szCs w:val="21"/>
        </w:rPr>
        <w:t xml:space="preserve">Unless otherwise agreed in writing, the Studio shall not license, re-record, or re-use the same underlying instrumental track (in whole or substantially in part) with a different artist without the Artist's prior written consent.</w:t>
      </w:r>
    </w:p>
    <w:p>
      <w:pPr>
        <w:pStyle w:val="Heading1"/>
        <w:spacing w:after="160" w:before="320"/>
      </w:pPr>
      <w:r>
        <w:rPr>
          <w:rFonts w:ascii="Arial" w:cs="Arial" w:eastAsia="Arial" w:hAnsi="Arial"/>
          <w:b/>
          <w:bCs/>
          <w:color w:val="1F2A44"/>
          <w:sz w:val="24"/>
          <w:szCs w:val="24"/>
        </w:rPr>
        <w:t xml:space="preserve">11. TERM &amp; TERRITORY</w:t>
      </w:r>
    </w:p>
    <w:p>
      <w:pPr>
        <w:spacing w:after="160" w:line="276"/>
      </w:pPr>
      <w:r>
        <w:rPr>
          <w:rFonts w:ascii="Arial" w:cs="Arial" w:eastAsia="Arial" w:hAnsi="Arial"/>
          <w:sz w:val="21"/>
          <w:szCs w:val="21"/>
        </w:rPr>
        <w:t xml:space="preserve">This Agreement is effective for the Term and applies within the Territory specified in the metadata table above. Absent any specification, the Term is the full life of copyright in the Joint Work and the Territory is worldwide.</w:t>
      </w:r>
    </w:p>
    <w:p>
      <w:pPr>
        <w:pStyle w:val="Heading1"/>
        <w:spacing w:after="160" w:before="320"/>
      </w:pPr>
      <w:r>
        <w:rPr>
          <w:rFonts w:ascii="Arial" w:cs="Arial" w:eastAsia="Arial" w:hAnsi="Arial"/>
          <w:b/>
          <w:bCs/>
          <w:color w:val="1F2A44"/>
          <w:sz w:val="24"/>
          <w:szCs w:val="24"/>
        </w:rPr>
        <w:t xml:space="preserve">12. DEFAULT &amp; NON-PAYMENT</w:t>
      </w:r>
    </w:p>
    <w:p>
      <w:pPr>
        <w:spacing w:after="160" w:line="276"/>
      </w:pPr>
      <w:r>
        <w:rPr>
          <w:rFonts w:ascii="Arial" w:cs="Arial" w:eastAsia="Arial" w:hAnsi="Arial"/>
          <w:sz w:val="21"/>
          <w:szCs w:val="21"/>
        </w:rPr>
        <w:t xml:space="preserve">If a party fails to make a payment due under this Agreement, the non-breaching party shall provide written notice, and the breaching party shall have 30 days to cure. Failure to cure entitles the non-breaching party to pursue remedies under Section 15, including interest on overdue amounts at the statutory rate.</w:t>
      </w:r>
    </w:p>
    <w:p>
      <w:pPr>
        <w:pStyle w:val="Heading1"/>
        <w:spacing w:after="160" w:before="320"/>
      </w:pPr>
      <w:r>
        <w:rPr>
          <w:rFonts w:ascii="Arial" w:cs="Arial" w:eastAsia="Arial" w:hAnsi="Arial"/>
          <w:b/>
          <w:bCs/>
          <w:color w:val="1F2A44"/>
          <w:sz w:val="24"/>
          <w:szCs w:val="24"/>
        </w:rPr>
        <w:t xml:space="preserve">13. TERMINATION</w:t>
      </w:r>
    </w:p>
    <w:p>
      <w:pPr>
        <w:spacing w:after="160" w:line="276"/>
      </w:pPr>
      <w:r>
        <w:rPr>
          <w:rFonts w:ascii="Arial" w:cs="Arial" w:eastAsia="Arial" w:hAnsi="Arial"/>
          <w:sz w:val="21"/>
          <w:szCs w:val="21"/>
        </w:rPr>
        <w:t xml:space="preserve">This Agreement may be terminated by mutual written consent. Termination does not affect either party's accrued rights to royalties earned, or splits vested, prior to the termination date; the copyright splits in Section 3 survive termination for the remaining life of copyright unless the parties agree otherwise in writing.</w:t>
      </w:r>
    </w:p>
    <w:p>
      <w:pPr>
        <w:pStyle w:val="Heading1"/>
        <w:spacing w:after="160" w:before="320"/>
      </w:pPr>
      <w:r>
        <w:rPr>
          <w:rFonts w:ascii="Arial" w:cs="Arial" w:eastAsia="Arial" w:hAnsi="Arial"/>
          <w:b/>
          <w:bCs/>
          <w:color w:val="1F2A44"/>
          <w:sz w:val="24"/>
          <w:szCs w:val="24"/>
        </w:rPr>
        <w:t xml:space="preserve">14. ASSIGNMENT</w:t>
      </w:r>
    </w:p>
    <w:p>
      <w:pPr>
        <w:spacing w:after="160" w:line="276"/>
      </w:pPr>
      <w:r>
        <w:rPr>
          <w:rFonts w:ascii="Arial" w:cs="Arial" w:eastAsia="Arial" w:hAnsi="Arial"/>
          <w:sz w:val="21"/>
          <w:szCs w:val="21"/>
        </w:rPr>
        <w:t xml:space="preserve">Either party may assign its rights and royalty share under this Agreement to a label, publisher, estate, or successor entity, provided the assignor gives the other party written notice within 30 days of the assignment. Assignment does not alter the underlying split percentages.</w:t>
      </w:r>
    </w:p>
    <w:p>
      <w:pPr>
        <w:pStyle w:val="Heading1"/>
        <w:spacing w:after="160" w:before="320"/>
      </w:pPr>
      <w:r>
        <w:rPr>
          <w:rFonts w:ascii="Arial" w:cs="Arial" w:eastAsia="Arial" w:hAnsi="Arial"/>
          <w:b/>
          <w:bCs/>
          <w:color w:val="1F2A44"/>
          <w:sz w:val="24"/>
          <w:szCs w:val="24"/>
        </w:rPr>
        <w:t xml:space="preserve">15. GOVERNING LAW &amp; DISPUTE RESOLUTION</w:t>
      </w:r>
    </w:p>
    <w:p>
      <w:pPr>
        <w:spacing w:after="160" w:line="276"/>
      </w:pPr>
      <w:r>
        <w:rPr>
          <w:rFonts w:ascii="Arial" w:cs="Arial" w:eastAsia="Arial" w:hAnsi="Arial"/>
          <w:sz w:val="21"/>
          <w:szCs w:val="21"/>
        </w:rPr>
        <w:t>This Agreement is governed by the laws of the Republic of Uganda, including the Copyright and Neighbouring Rights Act, Cap. 222 (Laws of Uganda), as amended by the Copyright and Neighbouring Rights (Amendment) Act, 2026 (together, the “Copyright Act”), the Electronic Transactions Act, 2011 (Act No. 8 of 2011), the Electronic Signatures Act, 2011 (Act No. 7 of 2011), and the Contracts Act, 2010. This Agreement is intended to satisfy the written-contract requirements for copyright transactions introduced by the Copyright and Neighbouring Rights (Amendment) Act, 2026. The parties shall first attempt to resolve any dispute through good-faith negotiation, then mediation, before pursuing arbitration or litigation in the courts of Uganda sitting at Kampala.</w:t>
      </w:r>
      <w:r>
        <w:rPr>
          <w:rFonts w:ascii="Arial" w:cs="Arial" w:eastAsia="Arial" w:hAnsi="Arial"/>
          <w:i/>
          <w:iCs/>
          <w:color w:val="1155CC"/>
        </w:rPr>
      </w:r>
      <w:r>
        <w:rPr>
          <w:rFonts w:ascii="Arial" w:cs="Arial" w:eastAsia="Arial" w:hAnsi="Arial"/>
          <w:sz w:val="21"/>
          <w:szCs w:val="21"/>
        </w:rPr>
      </w:r>
      <w:r>
        <w:rPr>
          <w:rFonts w:ascii="Arial" w:cs="Arial" w:eastAsia="Arial" w:hAnsi="Arial"/>
          <w:i/>
          <w:iCs/>
          <w:color w:val="1155CC"/>
        </w:rPr>
      </w:r>
      <w:r>
        <w:rPr>
          <w:rFonts w:ascii="Arial" w:cs="Arial" w:eastAsia="Arial" w:hAnsi="Arial"/>
          <w:sz w:val="21"/>
          <w:szCs w:val="21"/>
        </w:rPr>
      </w:r>
    </w:p>
    <w:p>
      <w:pPr>
        <w:pStyle w:val="Heading1"/>
        <w:spacing w:after="160" w:before="320"/>
      </w:pPr>
      <w:r>
        <w:rPr>
          <w:rFonts w:ascii="Arial" w:cs="Arial" w:eastAsia="Arial" w:hAnsi="Arial"/>
          <w:b/>
          <w:bCs/>
          <w:color w:val="1F2A44"/>
          <w:sz w:val="24"/>
          <w:szCs w:val="24"/>
        </w:rPr>
        <w:t xml:space="preserve">16. GENERAL PROVISIONS</w:t>
      </w:r>
    </w:p>
    <w:p>
      <w:pPr>
        <w:pStyle w:val="ListParagraph"/>
        <w:numPr>
          <w:ilvl w:val="0"/>
          <w:numId w:val="1"/>
        </w:numPr>
        <w:spacing w:after="120" w:line="276"/>
      </w:pPr>
      <w:r>
        <w:rPr>
          <w:rFonts w:ascii="Arial" w:cs="Arial" w:eastAsia="Arial" w:hAnsi="Arial"/>
          <w:sz w:val="21"/>
          <w:szCs w:val="21"/>
        </w:rPr>
        <w:t xml:space="preserve">Entire Agreement: </w:t>
      </w:r>
      <w:r>
        <w:rPr>
          <w:rFonts w:ascii="Arial" w:cs="Arial" w:eastAsia="Arial" w:hAnsi="Arial"/>
          <w:sz w:val="21"/>
          <w:szCs w:val="21"/>
        </w:rPr>
        <w:t xml:space="preserve">this Agreement, together with its referenced Split Sheet, constitutes the entire understanding between the parties regarding the Joint Work and supersedes all prior discussions.</w:t>
      </w:r>
    </w:p>
    <w:p>
      <w:pPr>
        <w:pStyle w:val="ListParagraph"/>
        <w:numPr>
          <w:ilvl w:val="0"/>
          <w:numId w:val="1"/>
        </w:numPr>
        <w:spacing w:after="120" w:line="276"/>
      </w:pPr>
      <w:r>
        <w:rPr>
          <w:rFonts w:ascii="Arial" w:cs="Arial" w:eastAsia="Arial" w:hAnsi="Arial"/>
          <w:sz w:val="21"/>
          <w:szCs w:val="21"/>
        </w:rPr>
        <w:t xml:space="preserve">Amendment: </w:t>
      </w:r>
      <w:r>
        <w:rPr>
          <w:rFonts w:ascii="Arial" w:cs="Arial" w:eastAsia="Arial" w:hAnsi="Arial"/>
          <w:sz w:val="21"/>
          <w:szCs w:val="21"/>
        </w:rPr>
        <w:t xml:space="preserve">this Agreement may only be amended by a written document signed by both parties.</w:t>
      </w:r>
    </w:p>
    <w:p>
      <w:pPr>
        <w:pStyle w:val="ListParagraph"/>
        <w:numPr>
          <w:ilvl w:val="0"/>
          <w:numId w:val="1"/>
        </w:numPr>
        <w:spacing w:after="120" w:line="276"/>
      </w:pPr>
      <w:r>
        <w:rPr>
          <w:rFonts w:ascii="Arial" w:cs="Arial" w:eastAsia="Arial" w:hAnsi="Arial"/>
          <w:sz w:val="21"/>
          <w:szCs w:val="21"/>
        </w:rPr>
        <w:t xml:space="preserve">Severability: </w:t>
      </w:r>
      <w:r>
        <w:rPr>
          <w:rFonts w:ascii="Arial" w:cs="Arial" w:eastAsia="Arial" w:hAnsi="Arial"/>
          <w:sz w:val="21"/>
          <w:szCs w:val="21"/>
        </w:rPr>
        <w:t xml:space="preserve">if any provision is held unenforceable, the remaining provisions remain in full force and effect.</w:t>
      </w:r>
    </w:p>
    <w:p>
      <w:pPr>
        <w:pStyle w:val="ListParagraph"/>
        <w:numPr>
          <w:ilvl w:val="0"/>
          <w:numId w:val="1"/>
        </w:numPr>
        <w:spacing w:after="120" w:line="276"/>
      </w:pPr>
      <w:r>
        <w:rPr>
          <w:rFonts w:ascii="Arial" w:cs="Arial" w:eastAsia="Arial" w:hAnsi="Arial"/>
          <w:sz w:val="21"/>
          <w:szCs w:val="21"/>
        </w:rPr>
        <w:t>Counterparts &amp; E-Signature: this Agreement may be executed in counterparts, including by electronic signature, each of which is deemed an original. An electronic signature executed through the Mulika Studios online platform — comprising the signatory’s typed legal name, a one-time verification code sent to the signatory’s verified email address or phone number, and a tamper-evident record of the document hash, timestamp, and network address — is adopted by each party as their signature and is valid and enforceable under the Electronic Transactions Act, 2011 and the Electronic Signatures Act, 2011 of Uganda.</w:t>
      </w:r>
      <w:r>
        <w:rPr>
          <w:rFonts w:ascii="Arial" w:cs="Arial" w:eastAsia="Arial" w:hAnsi="Arial"/>
          <w:sz w:val="21"/>
          <w:szCs w:val="21"/>
        </w:rPr>
      </w:r>
    </w:p>
    <w:p>
      <w:pPr>
        <w:pStyle w:val="ListParagraph"/>
        <w:numPr>
          <w:ilvl w:val="0"/>
          <w:numId w:val="1"/>
        </w:numPr>
        <w:spacing w:after="120" w:line="276"/>
      </w:pPr>
      <w:r>
        <w:rPr>
          <w:rFonts w:ascii="Arial" w:cs="Arial" w:eastAsia="Arial" w:hAnsi="Arial"/>
          <w:sz w:val="21"/>
          <w:szCs w:val="21"/>
        </w:rPr>
        <w:t>Effective Date &amp; Ratification: where the Effective Date stated in the metadata table precedes the Execution Date, the parties acknowledge that this Agreement records, memorializes, and ratifies the understanding under which the Joint Work was created and exploited from the Effective Date, and all splits, rights, and obligations herein apply retroactively from the Effective Date. This clause formalizes a pre-existing arrangement; it does not misrepresent the date on which this document was actually signed, which remains the Execution Date.</w:t>
      </w:r>
      <w:r>
        <w:rPr>
          <w:rFonts w:ascii="Arial" w:cs="Arial" w:eastAsia="Arial" w:hAnsi="Arial"/>
          <w:sz w:val="21"/>
          <w:szCs w:val="21"/>
        </w:rPr>
      </w:r>
    </w:p>
    <w:p>
      <w:pPr>
        <w:pStyle w:val="ListParagraph"/>
        <w:numPr>
          <w:ilvl w:val="0"/>
          <w:numId w:val="1"/>
        </w:numPr>
        <w:spacing w:after="120" w:line="276"/>
      </w:pPr>
      <w:r>
        <w:rPr>
          <w:rFonts w:ascii="Arial" w:cs="Arial" w:eastAsia="Arial" w:hAnsi="Arial"/>
          <w:sz w:val="21"/>
          <w:szCs w:val="21"/>
        </w:rPr>
        <w:t>Copyright Registration: either party may register the Joint Work and this Agreement with the Uganda Registration Services Bureau (URSB); the other party shall reasonably cooperate with any such registration.</w:t>
      </w:r>
      <w:r>
        <w:rPr>
          <w:rFonts w:ascii="Arial" w:cs="Arial" w:eastAsia="Arial" w:hAnsi="Arial"/>
          <w:sz w:val="21"/>
          <w:szCs w:val="21"/>
        </w:rPr>
      </w:r>
    </w:p>
    <w:p>
      <w:r>
        <w:br w:type="page"/>
      </w:r>
    </w:p>
    <w:p>
      <w:pPr>
        <w:pStyle w:val="Heading1"/>
        <w:spacing w:after="160" w:before="320"/>
      </w:pPr>
      <w:r>
        <w:rPr>
          <w:rFonts w:ascii="Arial" w:cs="Arial" w:eastAsia="Arial" w:hAnsi="Arial"/>
          <w:b/>
          <w:bCs/>
          <w:color w:val="1F2A44"/>
          <w:sz w:val="24"/>
          <w:szCs w:val="24"/>
        </w:rPr>
        <w:t xml:space="preserve">17. SIGNATURES &amp; EXECUTION</w:t>
      </w:r>
    </w:p>
    <w:p>
      <w:pPr>
        <w:spacing w:after="160" w:line="276"/>
      </w:pPr>
      <w:r>
        <w:rPr>
          <w:rFonts w:ascii="Arial" w:cs="Arial" w:eastAsia="Arial" w:hAnsi="Arial"/>
          <w:sz w:val="21"/>
          <w:szCs w:val="21"/>
        </w:rPr>
        <w:t xml:space="preserve">By signing below, both parties confirm that they understand this is a joint creative endeavor in which the Artist commands vocal authorship and performance ownership, and the Studio commands musical infrastructure and production/composition rights, allocated per Section 3 above.</w:t>
      </w:r>
    </w:p>
    <w:p>
      <w:pPr>
        <w:spacing w:after="160" w:line="276"/>
      </w:pPr>
      <w:r>
        <w:rPr>
          <w:rFonts w:ascii="Arial" w:cs="Arial" w:eastAsia="Arial" w:hAnsi="Arial"/>
          <w:sz w:val="21"/>
          <w:szCs w:val="21"/>
        </w:rPr>
        <w:t>Where executed electronically via the Mulika Studios platform, each signature below is accompanied by a Signature Certificate recording the signatory’s verified identity, one-time code confirmation, document SHA-256 hash, timestamp, and network address, which forms part of this Agreement.</w:t>
      </w:r>
    </w:p>
    <w:tbl>
      <w:tblPr>
        <w:tblW w:type="dxa" w:w="10080"/>
        <w:tblBorders>
          <w:top w:val="single" w:color="BFBFBF" w:sz="2"/>
          <w:left w:val="single" w:color="BFBFBF" w:sz="2"/>
          <w:bottom w:val="single" w:color="BFBFBF" w:sz="2"/>
          <w:right w:val="single" w:color="BFBFBF" w:sz="2"/>
          <w:insideH w:val="none"/>
          <w:insideV w:val="none"/>
        </w:tblBorders>
      </w:tblPr>
      <w:tblGrid>
        <w:gridCol w:w="5040"/>
        <w:gridCol w:w="5040"/>
      </w:tblGrid>
      <w:tr>
        <w:tc>
          <w:tcPr>
            <w:tcW w:type="dxa" w:w="5040"/>
            <w:tcMar>
              <w:top w:type="dxa" w:w="100"/>
              <w:left w:type="dxa" w:w="100"/>
              <w:bottom w:type="dxa" w:w="100"/>
              <w:right w:type="dxa" w:w="200"/>
            </w:tcMar>
          </w:tcPr>
          <w:p>
            <w:pPr>
              <w:spacing w:after="60" w:before="200"/>
            </w:pPr>
            <w:r>
              <w:rPr>
                <w:rFonts w:ascii="Arial" w:cs="Arial" w:eastAsia="Arial" w:hAnsi="Arial"/>
                <w:b/>
                <w:bCs/>
                <w:sz w:val="21"/>
                <w:szCs w:val="21"/>
              </w:rPr>
              <w:t xml:space="preserve">FOR: MULIKA STUDIOS LTD</w:t>
            </w:r>
          </w:p>
          <w:p>
            <w:pPr>
              <w:spacing w:after="160" w:line="276"/>
            </w:pPr>
            <w:r>
              <w:rPr>
                <w:rFonts w:ascii="Arial" w:cs="Arial" w:eastAsia="Arial" w:hAnsi="Arial"/>
                <w:sz w:val="21"/>
                <w:szCs w:val="21"/>
              </w:rPr>
              <w:t xml:space="preserve">Name: </w:t>
            </w:r>
            <w:r>
              <w:rPr>
                <w:rFonts w:ascii="Arial" w:cs="Arial" w:eastAsia="Arial" w:hAnsi="Arial"/>
                <w:i/>
                <w:iCs/>
                <w:color w:val="1155CC"/>
              </w:rPr>
              <w:t xml:space="preserve">[LEGAL NAME]</w:t>
            </w:r>
          </w:p>
          <w:p>
            <w:pPr>
              <w:spacing w:after="160" w:line="276"/>
            </w:pPr>
            <w:r>
              <w:rPr>
                <w:rFonts w:ascii="Arial" w:cs="Arial" w:eastAsia="Arial" w:hAnsi="Arial"/>
                <w:sz w:val="21"/>
                <w:szCs w:val="21"/>
              </w:rPr>
              <w:t xml:space="preserve">Title / Capacity: </w:t>
            </w:r>
            <w:r>
              <w:rPr>
                <w:rFonts w:ascii="Arial" w:cs="Arial" w:eastAsia="Arial" w:hAnsi="Arial"/>
                <w:i/>
                <w:iCs/>
                <w:color w:val="1155CC"/>
              </w:rPr>
              <w:t xml:space="preserve">[ROLE]</w:t>
            </w:r>
          </w:p>
          <w:p>
            <w:pPr>
              <w:spacing w:after="160" w:line="276"/>
            </w:pPr>
            <w:r>
              <w:rPr>
                <w:rFonts w:ascii="Arial" w:cs="Arial" w:eastAsia="Arial" w:hAnsi="Arial"/>
                <w:sz w:val="21"/>
                <w:szCs w:val="21"/>
              </w:rPr>
              <w:t xml:space="preserve">Signature: </w:t>
            </w:r>
            <w:r>
              <w:rPr>
                <w:rFonts w:ascii="Arial" w:cs="Arial" w:eastAsia="Arial" w:hAnsi="Arial"/>
                <w:sz w:val="21"/>
                <w:szCs w:val="21"/>
              </w:rPr>
              <w:t xml:space="preserve">_______________________________</w:t>
            </w:r>
          </w:p>
          <w:p>
            <w:pPr>
              <w:spacing w:after="160" w:line="276"/>
            </w:pPr>
            <w:r>
              <w:rPr>
                <w:rFonts w:ascii="Arial" w:cs="Arial" w:eastAsia="Arial" w:hAnsi="Arial"/>
                <w:sz w:val="21"/>
                <w:szCs w:val="21"/>
              </w:rPr>
              <w:t xml:space="preserve">Date: </w:t>
            </w:r>
            <w:r>
              <w:rPr>
                <w:rFonts w:ascii="Arial" w:cs="Arial" w:eastAsia="Arial" w:hAnsi="Arial"/>
                <w:sz w:val="21"/>
                <w:szCs w:val="21"/>
              </w:rPr>
              <w:t xml:space="preserve">_______________________________</w:t>
            </w:r>
          </w:p>
        </w:tc>
        <w:tc>
          <w:tcPr>
            <w:tcW w:type="dxa" w:w="5040"/>
            <w:tcMar>
              <w:top w:type="dxa" w:w="100"/>
              <w:left w:type="dxa" w:w="200"/>
              <w:bottom w:type="dxa" w:w="100"/>
              <w:right w:type="dxa" w:w="100"/>
            </w:tcMar>
          </w:tcPr>
          <w:p>
            <w:pPr>
              <w:spacing w:after="60" w:before="200"/>
            </w:pPr>
            <w:r>
              <w:rPr>
                <w:rFonts w:ascii="Arial" w:cs="Arial" w:eastAsia="Arial" w:hAnsi="Arial"/>
                <w:b/>
                <w:bCs/>
                <w:sz w:val="21"/>
                <w:szCs w:val="21"/>
              </w:rPr>
              <w:t xml:space="preserve">FOR: THE ARTIST</w:t>
            </w:r>
          </w:p>
          <w:p>
            <w:pPr>
              <w:spacing w:after="160" w:line="276"/>
            </w:pPr>
            <w:r>
              <w:rPr>
                <w:rFonts w:ascii="Arial" w:cs="Arial" w:eastAsia="Arial" w:hAnsi="Arial"/>
                <w:sz w:val="21"/>
                <w:szCs w:val="21"/>
              </w:rPr>
              <w:t xml:space="preserve">Name: </w:t>
            </w:r>
            <w:r>
              <w:rPr>
                <w:rFonts w:ascii="Arial" w:cs="Arial" w:eastAsia="Arial" w:hAnsi="Arial"/>
                <w:i/>
                <w:iCs/>
                <w:color w:val="1155CC"/>
              </w:rPr>
              <w:t xml:space="preserve">[LEGAL NAME]</w:t>
            </w:r>
          </w:p>
          <w:p>
            <w:pPr>
              <w:spacing w:after="160" w:line="276"/>
            </w:pPr>
            <w:r>
              <w:rPr>
                <w:rFonts w:ascii="Arial" w:cs="Arial" w:eastAsia="Arial" w:hAnsi="Arial"/>
                <w:sz w:val="21"/>
                <w:szCs w:val="21"/>
              </w:rPr>
              <w:t xml:space="preserve">Title / Capacity: </w:t>
            </w:r>
            <w:r>
              <w:rPr>
                <w:rFonts w:ascii="Arial" w:cs="Arial" w:eastAsia="Arial" w:hAnsi="Arial"/>
                <w:i/>
                <w:iCs/>
                <w:color w:val="1155CC"/>
              </w:rPr>
              <w:t xml:space="preserve">[ROLE]</w:t>
            </w:r>
          </w:p>
          <w:p>
            <w:pPr>
              <w:spacing w:after="160" w:line="276"/>
            </w:pPr>
            <w:r>
              <w:rPr>
                <w:rFonts w:ascii="Arial" w:cs="Arial" w:eastAsia="Arial" w:hAnsi="Arial"/>
                <w:sz w:val="21"/>
                <w:szCs w:val="21"/>
              </w:rPr>
              <w:t xml:space="preserve">Signature: </w:t>
            </w:r>
            <w:r>
              <w:rPr>
                <w:rFonts w:ascii="Arial" w:cs="Arial" w:eastAsia="Arial" w:hAnsi="Arial"/>
                <w:sz w:val="21"/>
                <w:szCs w:val="21"/>
              </w:rPr>
              <w:t xml:space="preserve">_______________________________</w:t>
            </w:r>
          </w:p>
          <w:p>
            <w:pPr>
              <w:spacing w:after="160" w:line="276"/>
            </w:pPr>
            <w:r>
              <w:rPr>
                <w:rFonts w:ascii="Arial" w:cs="Arial" w:eastAsia="Arial" w:hAnsi="Arial"/>
                <w:sz w:val="21"/>
                <w:szCs w:val="21"/>
              </w:rPr>
              <w:t xml:space="preserve">Date: </w:t>
            </w:r>
            <w:r>
              <w:rPr>
                <w:rFonts w:ascii="Arial" w:cs="Arial" w:eastAsia="Arial" w:hAnsi="Arial"/>
                <w:sz w:val="21"/>
                <w:szCs w:val="21"/>
              </w:rPr>
              <w:t xml:space="preserve">_______________________________</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08080"/>
        <w:sz w:val="15"/>
        <w:szCs w:val="15"/>
      </w:rPr>
      <w:t xml:space="preserve">Page </w:t>
    </w:r>
    <w:r>
      <w:rPr>
        <w:rFonts w:ascii="Arial" w:cs="Arial" w:eastAsia="Arial" w:hAnsi="Arial"/>
        <w:color w:val="808080"/>
        <w:sz w:val="15"/>
        <w:szCs w:val="15"/>
      </w:rPr>
      <w:fldChar w:fldCharType="begin"/>
      <w:instrText xml:space="preserve">PAGE</w:instrText>
      <w:fldChar w:fldCharType="separate"/>
      <w:fldChar w:fldCharType="end"/>
    </w:r>
    <w:r>
      <w:rPr>
        <w:rFonts w:ascii="Arial" w:cs="Arial" w:eastAsia="Arial" w:hAnsi="Arial"/>
        <w:color w:val="808080"/>
        <w:sz w:val="15"/>
        <w:szCs w:val="15"/>
      </w:rPr>
      <w:t xml:space="preserve"> of </w:t>
    </w:r>
    <w:r>
      <w:rPr>
        <w:rFonts w:ascii="Arial" w:cs="Arial" w:eastAsia="Arial" w:hAnsi="Arial"/>
        <w:color w:val="808080"/>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808080"/>
        <w:sz w:val="15"/>
        <w:szCs w:val="15"/>
      </w:rPr>
      <w:t xml:space="preserve">Mulika Studios — Co-Production &amp; Split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2026-07-04T09:22:26.330Z</dcterms:created>
  <dcterms:modified xsi:type="dcterms:W3CDTF">2026-07-04T09:22:26.330Z</dcterms:modified>
</cp:coreProperties>
</file>

<file path=docProps/custom.xml><?xml version="1.0" encoding="utf-8"?>
<Properties xmlns="http://schemas.openxmlformats.org/officeDocument/2006/custom-properties" xmlns:vt="http://schemas.openxmlformats.org/officeDocument/2006/docPropsVTypes"/>
</file>